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B9C" w:rsidRDefault="005C3B9C" w:rsidP="005C3B9C">
      <w:pPr>
        <w:spacing w:after="0" w:line="240" w:lineRule="auto"/>
        <w:jc w:val="center"/>
        <w:rPr>
          <w:sz w:val="40"/>
          <w:szCs w:val="40"/>
        </w:rPr>
      </w:pPr>
      <w:r w:rsidRPr="005C3B9C">
        <w:rPr>
          <w:sz w:val="40"/>
          <w:szCs w:val="40"/>
        </w:rPr>
        <w:t>Schema sinottico della normativa su tutti i BES</w:t>
      </w:r>
      <w:r>
        <w:rPr>
          <w:sz w:val="40"/>
          <w:szCs w:val="40"/>
        </w:rPr>
        <w:t xml:space="preserve"> </w:t>
      </w:r>
    </w:p>
    <w:p w:rsidR="005C3B9C" w:rsidRPr="005C3B9C" w:rsidRDefault="005C3B9C" w:rsidP="005C3B9C">
      <w:pPr>
        <w:spacing w:after="0" w:line="240" w:lineRule="auto"/>
        <w:jc w:val="center"/>
        <w:rPr>
          <w:sz w:val="32"/>
          <w:szCs w:val="32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737"/>
        <w:gridCol w:w="4322"/>
        <w:gridCol w:w="3746"/>
        <w:gridCol w:w="3602"/>
      </w:tblGrid>
      <w:tr w:rsidR="005C3B9C" w:rsidRPr="005C3B9C" w:rsidTr="005C3B9C"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>Disabilità certificata</w:t>
            </w:r>
            <w:r w:rsidRPr="005C3B9C">
              <w:rPr>
                <w:rFonts w:ascii="Calibri" w:eastAsia="Times New Roman" w:hAnsi="Calibri" w:cs="Times New Roman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>DSA</w:t>
            </w:r>
            <w:r w:rsidRPr="005C3B9C">
              <w:rPr>
                <w:rFonts w:ascii="Calibri" w:eastAsia="Times New Roman" w:hAnsi="Calibri" w:cs="Times New Roman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>Altri BES</w:t>
            </w:r>
            <w:r w:rsidRPr="005C3B9C">
              <w:rPr>
                <w:rFonts w:ascii="Calibri" w:eastAsia="Times New Roman" w:hAnsi="Calibri" w:cs="Times New Roman"/>
                <w:sz w:val="36"/>
                <w:szCs w:val="36"/>
                <w:lang w:eastAsia="it-IT"/>
              </w:rPr>
              <w:t xml:space="preserve"> </w:t>
            </w:r>
          </w:p>
        </w:tc>
      </w:tr>
      <w:tr w:rsidR="005C3B9C" w:rsidRPr="005C3B9C" w:rsidTr="005C3B9C"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>Individuazione degli alunni</w:t>
            </w:r>
            <w:r w:rsidRPr="005C3B9C">
              <w:rPr>
                <w:rFonts w:ascii="Calibri" w:eastAsia="Times New Roman" w:hAnsi="Calibri" w:cs="Times New Roman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Certificazione ai sensi della </w:t>
            </w:r>
            <w:hyperlink r:id="rId4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L.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104/92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art. 3 commi 1 o 3 (gravità) e del </w:t>
            </w:r>
            <w:hyperlink r:id="rId5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DPCM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185/06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.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Certificazione ai sensi </w:t>
            </w:r>
            <w:hyperlink r:id="rId6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L.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170/10 </w:t>
              </w:r>
            </w:hyperlink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Delibera consiglio di classe ai sensi della </w:t>
            </w:r>
            <w:hyperlink r:id="rId7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Direttiva Ministeriale del 27/12/2012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e </w:t>
            </w:r>
            <w:hyperlink r:id="rId8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C.M.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8/13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e </w:t>
            </w:r>
            <w:hyperlink r:id="rId9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Nota 22/11/2013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</w:t>
            </w:r>
          </w:p>
        </w:tc>
      </w:tr>
      <w:tr w:rsidR="005C3B9C" w:rsidRPr="005C3B9C" w:rsidTr="005C3B9C"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 xml:space="preserve">Strumenti didattici 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PEI: con riduzione di talune discipline (art. 16 comma 1 </w:t>
            </w:r>
            <w:hyperlink r:id="rId10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L.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104/92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) e prove equipollenti e tempi più lunghi (art. 16 comma 3 </w:t>
            </w:r>
            <w:hyperlink r:id="rId11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L.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104/92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) </w:t>
            </w:r>
          </w:p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Insegnante per il sostegno e/o assistente per l'autonomia e la comunicazione.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PDP: con didattica personalizzata ed individualizzata, strumenti compensativi e/o misure </w:t>
            </w:r>
            <w:proofErr w:type="spellStart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dispensative</w:t>
            </w:r>
            <w:proofErr w:type="spellEnd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e tempi più lunghi per lo svolgimento delle prove. </w:t>
            </w: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PDP (solo se prescrive strumenti compensativi e/o misure </w:t>
            </w:r>
            <w:proofErr w:type="spellStart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dispensative</w:t>
            </w:r>
            <w:proofErr w:type="spellEnd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) </w:t>
            </w:r>
          </w:p>
        </w:tc>
      </w:tr>
      <w:tr w:rsidR="005C3B9C" w:rsidRPr="005C3B9C" w:rsidTr="005C3B9C">
        <w:tc>
          <w:tcPr>
            <w:tcW w:w="9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36"/>
                <w:lang w:eastAsia="it-IT"/>
              </w:rPr>
              <w:t>Effetti sulla valutazione del profitto</w:t>
            </w:r>
            <w:r w:rsidRPr="005C3B9C">
              <w:rPr>
                <w:rFonts w:ascii="Calibri" w:eastAsia="Times New Roman" w:hAnsi="Calibri" w:cs="Times New Roman"/>
                <w:sz w:val="36"/>
                <w:szCs w:val="36"/>
                <w:lang w:eastAsia="it-IT"/>
              </w:rPr>
              <w:t xml:space="preserve"> </w:t>
            </w:r>
          </w:p>
        </w:tc>
        <w:tc>
          <w:tcPr>
            <w:tcW w:w="15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u w:val="single"/>
                <w:lang w:eastAsia="it-IT"/>
              </w:rPr>
              <w:t>PRIMO CICLO:</w:t>
            </w:r>
          </w:p>
          <w:p w:rsidR="005C3B9C" w:rsidRPr="005C3B9C" w:rsidRDefault="005C3B9C" w:rsidP="005C3B9C">
            <w:pPr>
              <w:spacing w:before="100" w:beforeAutospacing="1" w:after="36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1. 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 xml:space="preserve">Diploma: </w:t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valutazione positiva (art. 16 commi 1 e 2 </w:t>
            </w:r>
            <w:hyperlink r:id="rId12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L.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104/92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): se si riscontrano miglioramenti rispetto ai livelli iniziali degli apprendimenti relativi ad un PEI formulato solo con </w:t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lastRenderedPageBreak/>
              <w:t>riguardo alle effettive capacità dell’alunno.</w:t>
            </w:r>
          </w:p>
          <w:p w:rsidR="005C3B9C" w:rsidRPr="005C3B9C" w:rsidRDefault="005C3B9C" w:rsidP="005C3B9C">
            <w:pPr>
              <w:spacing w:after="0" w:line="240" w:lineRule="auto"/>
              <w:ind w:left="363" w:hanging="363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2.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 xml:space="preserve"> Attestato con i crediti formativi</w:t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: eccezionalmente in caso di mancati o insufficienti progressi rispetto ai livelli iniziali degli apprendimenti. Rilasciato dalla Commissione d’esame e non dalla scuola. È comunque titolo idoneo all’iscrizione al secondo ciclo (</w:t>
            </w:r>
            <w:hyperlink r:id="rId13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O.M. </w:t>
              </w:r>
              <w:proofErr w:type="spellStart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n°</w:t>
              </w:r>
              <w:proofErr w:type="spellEnd"/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 xml:space="preserve"> 90/01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, art. 11 comma 12)</w:t>
            </w:r>
          </w:p>
          <w:p w:rsidR="005C3B9C" w:rsidRDefault="005C3B9C" w:rsidP="005C3B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7"/>
                <w:u w:val="single"/>
                <w:lang w:eastAsia="it-IT"/>
              </w:rPr>
            </w:pPr>
          </w:p>
          <w:p w:rsidR="005C3B9C" w:rsidRPr="005C3B9C" w:rsidRDefault="005C3B9C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u w:val="single"/>
                <w:lang w:eastAsia="it-IT"/>
              </w:rPr>
              <w:t>SECONDO CICLO: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u w:val="single"/>
                <w:lang w:eastAsia="it-IT"/>
              </w:rPr>
              <w:br/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1. 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>Programmazione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it-IT"/>
              </w:rPr>
              <w:br/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>normale della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szCs w:val="27"/>
                <w:lang w:eastAsia="it-IT"/>
              </w:rPr>
              <w:br/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 xml:space="preserve">classe. </w:t>
            </w:r>
          </w:p>
          <w:p w:rsidR="005C3B9C" w:rsidRPr="005C3B9C" w:rsidRDefault="005C3B9C" w:rsidP="005C3B9C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2. 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>Programmazione semplificata</w:t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: diritto al diploma, se superato positivamente esame di Stato con prove equipollenti e tempi più lunghi</w:t>
            </w:r>
          </w:p>
          <w:p w:rsidR="005C3B9C" w:rsidRPr="005C3B9C" w:rsidRDefault="005C3B9C" w:rsidP="005C3B9C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2. </w:t>
            </w:r>
            <w:r w:rsidRPr="005C3B9C">
              <w:rPr>
                <w:rFonts w:ascii="Calibri" w:eastAsia="Times New Roman" w:hAnsi="Calibri" w:cs="Times New Roman"/>
                <w:b/>
                <w:bCs/>
                <w:sz w:val="27"/>
                <w:lang w:eastAsia="it-IT"/>
              </w:rPr>
              <w:t>Programmazione differenziata</w:t>
            </w: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: diritto ad attestato certificante i crediti formativi (rilasciato sempre dalla commissione d’esame e non dalla scuola) </w:t>
            </w:r>
          </w:p>
        </w:tc>
        <w:tc>
          <w:tcPr>
            <w:tcW w:w="13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Pr="005C3B9C" w:rsidRDefault="005C3B9C" w:rsidP="005C3B9C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lastRenderedPageBreak/>
              <w:t>1. Dispensa scritto lingue straniere compensata da prova orale: consente Diploma (</w:t>
            </w:r>
            <w:hyperlink r:id="rId14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Linee guida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4.4 allegate a </w:t>
            </w:r>
            <w:hyperlink r:id="rId15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D.M. 12/07/2011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, art. 6 comma 5).</w:t>
            </w:r>
          </w:p>
          <w:p w:rsidR="005C3B9C" w:rsidRDefault="005C3B9C" w:rsidP="005C3B9C">
            <w:pPr>
              <w:spacing w:after="0" w:line="240" w:lineRule="auto"/>
              <w:ind w:left="227" w:hanging="227"/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</w:pPr>
          </w:p>
          <w:p w:rsidR="005C3B9C" w:rsidRPr="005C3B9C" w:rsidRDefault="005C3B9C" w:rsidP="005C3B9C">
            <w:pPr>
              <w:spacing w:after="0" w:line="240" w:lineRule="auto"/>
              <w:ind w:left="227" w:hanging="22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lastRenderedPageBreak/>
              <w:t>2. Esonero lingue straniere: solo attestato con i crediti formativi (</w:t>
            </w:r>
            <w:hyperlink r:id="rId16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D.M. 12/07/2011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art. 6 comma 6).</w:t>
            </w:r>
          </w:p>
        </w:tc>
        <w:tc>
          <w:tcPr>
            <w:tcW w:w="125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5C3B9C" w:rsidRDefault="005C3B9C" w:rsidP="005C3B9C">
            <w:pPr>
              <w:spacing w:after="0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lastRenderedPageBreak/>
              <w:t xml:space="preserve">Misure </w:t>
            </w:r>
            <w:proofErr w:type="spellStart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dispensative</w:t>
            </w:r>
            <w:proofErr w:type="spellEnd"/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 (ad eccezione della dispensa dallo scritto di lingue straniere e dell’esonero normativamente previste solo per DSA).</w:t>
            </w:r>
          </w:p>
          <w:p w:rsidR="005C3B9C" w:rsidRPr="005C3B9C" w:rsidRDefault="005C3B9C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Strumenti compensativi.</w:t>
            </w:r>
          </w:p>
          <w:p w:rsidR="00F75FBE" w:rsidRDefault="00F75FBE" w:rsidP="005C3B9C">
            <w:pPr>
              <w:spacing w:after="0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</w:pPr>
          </w:p>
          <w:p w:rsidR="005C3B9C" w:rsidRPr="005C3B9C" w:rsidRDefault="005C3B9C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lastRenderedPageBreak/>
              <w:t>Tempi più lunghi</w:t>
            </w:r>
            <w:r w:rsidR="00F75FBE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.</w:t>
            </w:r>
          </w:p>
          <w:p w:rsidR="005C3B9C" w:rsidRDefault="005C3B9C" w:rsidP="005C3B9C">
            <w:pPr>
              <w:spacing w:after="0" w:line="240" w:lineRule="auto"/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Con possibile Diploma.</w:t>
            </w:r>
          </w:p>
          <w:p w:rsidR="005C3B9C" w:rsidRPr="005C3B9C" w:rsidRDefault="005C3B9C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3B9C" w:rsidRPr="005C3B9C" w:rsidRDefault="005C3B9C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 xml:space="preserve">Per gli stranieri c’è </w:t>
            </w:r>
            <w:hyperlink r:id="rId17" w:tgtFrame="_blank" w:history="1">
              <w:r w:rsidRPr="005C3B9C">
                <w:rPr>
                  <w:rFonts w:ascii="Calibri" w:eastAsia="Times New Roman" w:hAnsi="Calibri" w:cs="Times New Roman"/>
                  <w:color w:val="4169E1"/>
                  <w:sz w:val="27"/>
                  <w:lang w:eastAsia="it-IT"/>
                </w:rPr>
                <w:t>normativa specifica</w:t>
              </w:r>
            </w:hyperlink>
            <w:r w:rsidRPr="005C3B9C">
              <w:rPr>
                <w:rFonts w:ascii="Calibri" w:eastAsia="Times New Roman" w:hAnsi="Calibri" w:cs="Times New Roman"/>
                <w:sz w:val="27"/>
                <w:szCs w:val="27"/>
                <w:lang w:eastAsia="it-IT"/>
              </w:rPr>
              <w:t>.</w:t>
            </w:r>
          </w:p>
        </w:tc>
      </w:tr>
    </w:tbl>
    <w:p w:rsidR="005C3B9C" w:rsidRDefault="005C3B9C"/>
    <w:sectPr w:rsidR="005C3B9C" w:rsidSect="0027681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C3B9C"/>
    <w:rsid w:val="00276816"/>
    <w:rsid w:val="00434299"/>
    <w:rsid w:val="005C3B9C"/>
    <w:rsid w:val="00917DF1"/>
    <w:rsid w:val="00C03063"/>
    <w:rsid w:val="00F75FBE"/>
    <w:rsid w:val="00FD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D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C3B9C"/>
    <w:rPr>
      <w:strike w:val="0"/>
      <w:dstrike w:val="0"/>
      <w:color w:val="4169E1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5C3B9C"/>
    <w:rPr>
      <w:b/>
      <w:bCs/>
    </w:rPr>
  </w:style>
  <w:style w:type="paragraph" w:styleId="NormaleWeb">
    <w:name w:val="Normal (Web)"/>
    <w:basedOn w:val="Normale"/>
    <w:uiPriority w:val="99"/>
    <w:unhideWhenUsed/>
    <w:rsid w:val="005C3B9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1130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81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scuola.eu/wordpress/wp-content/uploads/2013/03/cm008_13.pdf" TargetMode="External"/><Relationship Id="rId13" Type="http://schemas.openxmlformats.org/officeDocument/2006/relationships/hyperlink" Target="http://www.edscuola.it/archivio/norme/ordinanze/om090_01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scuola.eu/wordpress/?p=15772" TargetMode="External"/><Relationship Id="rId12" Type="http://schemas.openxmlformats.org/officeDocument/2006/relationships/hyperlink" Target="http://www.edscuola.it/archivio/norme/leggi/l104_92.html" TargetMode="External"/><Relationship Id="rId17" Type="http://schemas.openxmlformats.org/officeDocument/2006/relationships/hyperlink" Target="http://hubmiur.pubblica.istruzione.it/web/istruzione/intercultura-normativ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scuola.eu/wordpress/?wpfb_dl=61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scuola.eu/wordpress/?p=3567" TargetMode="External"/><Relationship Id="rId11" Type="http://schemas.openxmlformats.org/officeDocument/2006/relationships/hyperlink" Target="http://www.edscuola.it/archivio/norme/leggi/l104_92.html" TargetMode="External"/><Relationship Id="rId5" Type="http://schemas.openxmlformats.org/officeDocument/2006/relationships/hyperlink" Target="http://www.edscuola.it/archivio/norme/decreti/dpcm185_06.htm" TargetMode="External"/><Relationship Id="rId15" Type="http://schemas.openxmlformats.org/officeDocument/2006/relationships/hyperlink" Target="http://www.edscuola.eu/wordpress/?wpfb_dl=613" TargetMode="External"/><Relationship Id="rId10" Type="http://schemas.openxmlformats.org/officeDocument/2006/relationships/hyperlink" Target="http://www.edscuola.it/archivio/norme/leggi/l104_92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edscuola.it/archivio/norme/leggi/l104_92.html" TargetMode="External"/><Relationship Id="rId9" Type="http://schemas.openxmlformats.org/officeDocument/2006/relationships/hyperlink" Target="http://www.edscuola.eu/wordpress/wp-content/uploads/2013/11/prot2563_13.pdf" TargetMode="External"/><Relationship Id="rId14" Type="http://schemas.openxmlformats.org/officeDocument/2006/relationships/hyperlink" Target="http://hubmiur.pubblica.istruzione.it/alfresco/d/d/workspace/SpacesStore/76957d8d-4e63-4a21-bfef-0b41d6863c9a/linee_guida_sui_dsa_12luglio201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526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Annalucia</dc:creator>
  <cp:keywords/>
  <dc:description/>
  <cp:lastModifiedBy>Win C</cp:lastModifiedBy>
  <cp:revision>4</cp:revision>
  <dcterms:created xsi:type="dcterms:W3CDTF">2016-05-02T14:59:00Z</dcterms:created>
  <dcterms:modified xsi:type="dcterms:W3CDTF">2016-05-14T19:36:00Z</dcterms:modified>
</cp:coreProperties>
</file>